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0F5" w:rsidRPr="0021494F" w:rsidRDefault="00BC70F5" w:rsidP="00BC70F5">
      <w:pPr>
        <w:jc w:val="center"/>
        <w:rPr>
          <w:rFonts w:ascii="Verdana" w:hAnsi="Verdana" w:cs="Times New Roman"/>
          <w:b/>
          <w:color w:val="44546A" w:themeColor="text2"/>
          <w:sz w:val="28"/>
          <w:szCs w:val="28"/>
          <w:lang w:val="fr-CA"/>
        </w:rPr>
      </w:pPr>
      <w:r w:rsidRPr="0021494F">
        <w:rPr>
          <w:rFonts w:ascii="Verdana" w:hAnsi="Verdana" w:cs="Times New Roman"/>
          <w:b/>
          <w:noProof/>
          <w:color w:val="44546A" w:themeColor="text2"/>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-392430</wp:posOffset>
                </wp:positionV>
                <wp:extent cx="905510" cy="834390"/>
                <wp:effectExtent l="12065" t="12700" r="6350"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34390"/>
                        </a:xfrm>
                        <a:prstGeom prst="rect">
                          <a:avLst/>
                        </a:prstGeom>
                        <a:solidFill>
                          <a:srgbClr val="FFFFFF"/>
                        </a:solidFill>
                        <a:ln w="9525">
                          <a:solidFill>
                            <a:schemeClr val="bg1">
                              <a:lumMod val="100000"/>
                              <a:lumOff val="0"/>
                            </a:schemeClr>
                          </a:solidFill>
                          <a:miter lim="800000"/>
                          <a:headEnd/>
                          <a:tailEnd/>
                        </a:ln>
                      </wps:spPr>
                      <wps:txbx>
                        <w:txbxContent>
                          <w:p w:rsidR="00BC70F5" w:rsidRDefault="00BC70F5" w:rsidP="00BC70F5">
                            <w:pPr>
                              <w:ind w:left="0" w:firstLine="0"/>
                            </w:pPr>
                            <w:r>
                              <w:rPr>
                                <w:noProof/>
                                <w:lang w:eastAsia="fr-FR"/>
                              </w:rPr>
                              <w:drawing>
                                <wp:inline distT="0" distB="0" distL="0" distR="0">
                                  <wp:extent cx="714375" cy="790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5pt;margin-top:-30.9pt;width:71.3pt;height:65.7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" strokecolor="white [3212]">
                <v:textbox style="mso-fit-shape-to-text:t">
                  <w:txbxContent>
                    <w:p w:rsidR="00BC70F5" w:rsidRDefault="00BC70F5" w:rsidP="00BC70F5">
                      <w:pPr>
                        <w:ind w:left="0" w:firstLine="0"/>
                      </w:pPr>
                      <w:r>
                        <w:rPr>
                          <w:noProof/>
                          <w:lang w:eastAsia="fr-FR"/>
                        </w:rPr>
                        <w:drawing>
                          <wp:inline distT="0" distB="0" distL="0" distR="0">
                            <wp:extent cx="714375" cy="790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xbxContent>
                </v:textbox>
              </v:shape>
            </w:pict>
          </mc:Fallback>
        </mc:AlternateContent>
      </w:r>
      <w:r w:rsidRPr="0021494F">
        <w:rPr>
          <w:rFonts w:ascii="Verdana" w:hAnsi="Verdana" w:cs="Times New Roman"/>
          <w:b/>
          <w:color w:val="44546A" w:themeColor="text2"/>
          <w:sz w:val="28"/>
          <w:szCs w:val="28"/>
          <w:lang w:val="fr-CA"/>
        </w:rPr>
        <w:t>LA MISSION CNRACL</w:t>
      </w:r>
    </w:p>
    <w:p w:rsidR="00BC70F5" w:rsidRPr="00BC70F5" w:rsidRDefault="00BC70F5" w:rsidP="00BC70F5">
      <w:pPr>
        <w:spacing w:before="720" w:after="120"/>
        <w:ind w:left="0" w:firstLine="0"/>
        <w:rPr>
          <w:rFonts w:ascii="Verdana" w:hAnsi="Verdana" w:cs="Times New Roman"/>
          <w:sz w:val="20"/>
          <w:szCs w:val="20"/>
        </w:rPr>
      </w:pPr>
      <w:r w:rsidRPr="00BC70F5">
        <w:rPr>
          <w:rFonts w:ascii="Verdana" w:hAnsi="Verdana" w:cs="Times New Roman"/>
          <w:sz w:val="20"/>
          <w:szCs w:val="20"/>
        </w:rPr>
        <w:t>Le Centre de Gestion intervient dans les relations entre les communes et établissements publics et la C.N.R.A.C.L. pour toutes les questions touchant au domaine de la retraite afin de faciliter la gestion des dossiers par les collectivités.</w:t>
      </w:r>
    </w:p>
    <w:p w:rsidR="00BC70F5" w:rsidRPr="00BC70F5" w:rsidRDefault="00BC70F5" w:rsidP="00BC70F5">
      <w:pPr>
        <w:spacing w:before="0" w:after="225"/>
        <w:ind w:left="0" w:firstLine="0"/>
        <w:rPr>
          <w:rFonts w:ascii="Verdana" w:eastAsia="Times New Roman" w:hAnsi="Verdana" w:cs="Times New Roman"/>
          <w:sz w:val="20"/>
          <w:szCs w:val="20"/>
          <w:lang w:eastAsia="fr-FR"/>
        </w:rPr>
      </w:pPr>
      <w:r w:rsidRPr="00BC70F5">
        <w:rPr>
          <w:rFonts w:ascii="Verdana" w:eastAsia="Times New Roman" w:hAnsi="Verdana" w:cs="Times New Roman"/>
          <w:sz w:val="20"/>
          <w:szCs w:val="20"/>
          <w:lang w:eastAsia="fr-FR"/>
        </w:rPr>
        <w:t>Dans le cadre d'une convention de partenariat entre la </w:t>
      </w:r>
      <w:hyperlink r:id="rId7" w:tgtFrame="_blank" w:tooltip="Accéder au site : www.cdc.retraites.fr (nouvelle fenêtre)" w:history="1">
        <w:r w:rsidRPr="00BC70F5">
          <w:rPr>
            <w:rFonts w:ascii="Verdana" w:eastAsia="Times New Roman" w:hAnsi="Verdana" w:cs="Times New Roman"/>
            <w:sz w:val="20"/>
            <w:szCs w:val="20"/>
            <w:lang w:eastAsia="fr-FR"/>
          </w:rPr>
          <w:t>Caisse des Dépôts</w:t>
        </w:r>
      </w:hyperlink>
      <w:r w:rsidRPr="00BC70F5">
        <w:rPr>
          <w:rFonts w:ascii="Verdana" w:eastAsia="Times New Roman" w:hAnsi="Verdana" w:cs="Times New Roman"/>
          <w:sz w:val="20"/>
          <w:szCs w:val="20"/>
          <w:lang w:eastAsia="fr-FR"/>
        </w:rPr>
        <w:t xml:space="preserve"> et le CDG </w:t>
      </w:r>
      <w:r>
        <w:rPr>
          <w:rFonts w:ascii="Verdana" w:eastAsia="Times New Roman" w:hAnsi="Verdana" w:cs="Times New Roman"/>
          <w:sz w:val="20"/>
          <w:szCs w:val="20"/>
          <w:lang w:eastAsia="fr-FR"/>
        </w:rPr>
        <w:t>de l’Aisne</w:t>
      </w:r>
      <w:r w:rsidRPr="00BC70F5">
        <w:rPr>
          <w:rFonts w:ascii="Verdana" w:eastAsia="Times New Roman" w:hAnsi="Verdana" w:cs="Times New Roman"/>
          <w:sz w:val="20"/>
          <w:szCs w:val="20"/>
          <w:lang w:eastAsia="fr-FR"/>
        </w:rPr>
        <w:t xml:space="preserve">, le </w:t>
      </w:r>
      <w:r>
        <w:rPr>
          <w:rFonts w:ascii="Verdana" w:eastAsia="Times New Roman" w:hAnsi="Verdana" w:cs="Times New Roman"/>
          <w:sz w:val="20"/>
          <w:szCs w:val="20"/>
          <w:lang w:eastAsia="fr-FR"/>
        </w:rPr>
        <w:t>service</w:t>
      </w:r>
      <w:r w:rsidRPr="00BC70F5">
        <w:rPr>
          <w:rFonts w:ascii="Verdana" w:eastAsia="Times New Roman" w:hAnsi="Verdana" w:cs="Times New Roman"/>
          <w:sz w:val="20"/>
          <w:szCs w:val="20"/>
          <w:lang w:eastAsia="fr-FR"/>
        </w:rPr>
        <w:t xml:space="preserve"> est chargé d'une double mission :</w:t>
      </w:r>
    </w:p>
    <w:p w:rsidR="00BC70F5" w:rsidRPr="00BC70F5" w:rsidRDefault="00BC70F5" w:rsidP="00BC70F5">
      <w:pPr>
        <w:pStyle w:val="Paragraphedeliste"/>
        <w:numPr>
          <w:ilvl w:val="0"/>
          <w:numId w:val="4"/>
        </w:numPr>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U</w:t>
      </w:r>
      <w:r w:rsidRPr="00BC70F5">
        <w:rPr>
          <w:rFonts w:ascii="Verdana" w:eastAsia="Times New Roman" w:hAnsi="Verdana" w:cs="Times New Roman"/>
          <w:sz w:val="20"/>
          <w:szCs w:val="20"/>
          <w:lang w:eastAsia="fr-FR"/>
        </w:rPr>
        <w:t>ne mission d'information destinée aux collectivités affiliées ou adhérentes,</w:t>
      </w:r>
    </w:p>
    <w:p w:rsidR="00BC70F5" w:rsidRPr="00BC70F5" w:rsidRDefault="00BC70F5" w:rsidP="00BC70F5">
      <w:pPr>
        <w:pStyle w:val="Paragraphedeliste"/>
        <w:numPr>
          <w:ilvl w:val="0"/>
          <w:numId w:val="4"/>
        </w:numPr>
        <w:spacing w:before="100" w:beforeAutospacing="1" w:after="100" w:afterAutospacing="1"/>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U</w:t>
      </w:r>
      <w:r w:rsidRPr="00BC70F5">
        <w:rPr>
          <w:rFonts w:ascii="Verdana" w:eastAsia="Times New Roman" w:hAnsi="Verdana" w:cs="Times New Roman"/>
          <w:sz w:val="20"/>
          <w:szCs w:val="20"/>
          <w:lang w:eastAsia="fr-FR"/>
        </w:rPr>
        <w:t>ne mission d'intervention pour le compte des mêmes collectivités sur les dossiers et processus CNRACL</w:t>
      </w:r>
    </w:p>
    <w:p w:rsidR="00BC70F5" w:rsidRPr="00BC70F5" w:rsidRDefault="00BC70F5" w:rsidP="00BC70F5">
      <w:pPr>
        <w:spacing w:before="0" w:after="225"/>
        <w:ind w:left="0" w:firstLine="0"/>
        <w:outlineLvl w:val="2"/>
        <w:rPr>
          <w:rFonts w:ascii="Verdana" w:eastAsia="Times New Roman" w:hAnsi="Verdana" w:cs="Arial"/>
          <w:caps/>
          <w:sz w:val="20"/>
          <w:szCs w:val="20"/>
          <w:u w:val="single"/>
          <w:lang w:eastAsia="fr-FR"/>
        </w:rPr>
      </w:pPr>
      <w:r w:rsidRPr="00BC70F5">
        <w:rPr>
          <w:rFonts w:ascii="Verdana" w:eastAsia="Times New Roman" w:hAnsi="Verdana" w:cs="Arial"/>
          <w:caps/>
          <w:sz w:val="20"/>
          <w:szCs w:val="20"/>
          <w:u w:val="single"/>
          <w:lang w:eastAsia="fr-FR"/>
        </w:rPr>
        <w:t>MISSION D'INFORMATION</w:t>
      </w:r>
    </w:p>
    <w:p w:rsidR="00BC70F5" w:rsidRDefault="00BC70F5" w:rsidP="00BC70F5">
      <w:pPr>
        <w:spacing w:before="0" w:after="225"/>
        <w:ind w:left="0" w:firstLine="0"/>
        <w:rPr>
          <w:rFonts w:ascii="Verdana" w:eastAsia="Times New Roman" w:hAnsi="Verdana" w:cs="Arial"/>
          <w:sz w:val="20"/>
          <w:szCs w:val="20"/>
          <w:lang w:eastAsia="fr-FR"/>
        </w:rPr>
      </w:pPr>
      <w:r>
        <w:rPr>
          <w:rFonts w:ascii="Verdana" w:eastAsia="Times New Roman" w:hAnsi="Verdana" w:cs="Arial"/>
          <w:sz w:val="20"/>
          <w:szCs w:val="20"/>
          <w:lang w:eastAsia="fr-FR"/>
        </w:rPr>
        <w:t xml:space="preserve">Le service Retraite </w:t>
      </w:r>
      <w:r w:rsidRPr="00BC70F5">
        <w:rPr>
          <w:rFonts w:ascii="Verdana" w:eastAsia="Times New Roman" w:hAnsi="Verdana" w:cs="Arial"/>
          <w:sz w:val="20"/>
          <w:szCs w:val="20"/>
          <w:lang w:eastAsia="fr-FR"/>
        </w:rPr>
        <w:t>est à la disposition des collectivités affiliées (services RH ou personnes chargées du traitement des dossiers) pour les renseigner sur la réglementation du régime spécial de la CNRACL, les différentes procédures qui en découlent et tous les processus liés au droit à l'information {Compte Individuel Retraite (CIR) et Estimation Indicative Globale (EIG)}.</w:t>
      </w:r>
    </w:p>
    <w:p w:rsidR="00BC70F5" w:rsidRDefault="00BC70F5" w:rsidP="00BC70F5">
      <w:pPr>
        <w:spacing w:before="0" w:after="225"/>
        <w:ind w:left="0" w:firstLine="0"/>
        <w:rPr>
          <w:rFonts w:ascii="Verdana" w:eastAsia="Times New Roman" w:hAnsi="Verdana" w:cs="Arial"/>
          <w:sz w:val="20"/>
          <w:szCs w:val="20"/>
          <w:lang w:eastAsia="fr-FR"/>
        </w:rPr>
      </w:pPr>
      <w:r>
        <w:rPr>
          <w:rFonts w:ascii="Verdana" w:eastAsia="Times New Roman" w:hAnsi="Verdana" w:cs="Arial"/>
          <w:sz w:val="20"/>
          <w:szCs w:val="20"/>
          <w:lang w:eastAsia="fr-FR"/>
        </w:rPr>
        <w:t>Les agents concernés peuvent également être reçus pour des rendez-vous individualisés.</w:t>
      </w:r>
    </w:p>
    <w:p w:rsidR="00BC70F5" w:rsidRPr="00BC70F5" w:rsidRDefault="00BC70F5" w:rsidP="00BC70F5">
      <w:pPr>
        <w:spacing w:before="0" w:after="225"/>
        <w:ind w:left="0" w:firstLine="0"/>
        <w:rPr>
          <w:rFonts w:ascii="Verdana" w:eastAsia="Times New Roman" w:hAnsi="Verdana" w:cs="Arial"/>
          <w:sz w:val="20"/>
          <w:szCs w:val="20"/>
          <w:u w:val="single"/>
          <w:lang w:eastAsia="fr-FR"/>
        </w:rPr>
      </w:pPr>
      <w:r w:rsidRPr="00BC70F5">
        <w:rPr>
          <w:rFonts w:ascii="Verdana" w:eastAsia="Times New Roman" w:hAnsi="Verdana" w:cs="Arial"/>
          <w:caps/>
          <w:sz w:val="20"/>
          <w:szCs w:val="20"/>
          <w:u w:val="single"/>
          <w:lang w:eastAsia="fr-FR"/>
        </w:rPr>
        <w:t>MISSION D'INTERVENTION</w:t>
      </w:r>
    </w:p>
    <w:p w:rsidR="00BC70F5" w:rsidRPr="00BC70F5" w:rsidRDefault="00BC70F5" w:rsidP="00BC70F5">
      <w:pPr>
        <w:spacing w:before="0" w:after="225"/>
        <w:ind w:left="0" w:firstLine="0"/>
        <w:rPr>
          <w:rFonts w:ascii="Verdana" w:eastAsia="Times New Roman" w:hAnsi="Verdana" w:cs="Arial"/>
          <w:sz w:val="20"/>
          <w:szCs w:val="20"/>
          <w:lang w:eastAsia="fr-FR"/>
        </w:rPr>
      </w:pPr>
      <w:r w:rsidRPr="00BC70F5">
        <w:rPr>
          <w:rFonts w:ascii="Verdana" w:eastAsia="Times New Roman" w:hAnsi="Verdana" w:cs="Arial"/>
          <w:sz w:val="20"/>
          <w:szCs w:val="20"/>
          <w:lang w:eastAsia="fr-FR"/>
        </w:rPr>
        <w:t>Le service contrôle les dossiers que doivent obligatoirement lui transmettre les collectivités affiliées</w:t>
      </w:r>
      <w:r w:rsidR="00F46941" w:rsidRPr="00F46941">
        <w:rPr>
          <w:rFonts w:ascii="Verdana" w:eastAsia="Times New Roman" w:hAnsi="Verdana" w:cs="Arial"/>
          <w:sz w:val="20"/>
          <w:szCs w:val="20"/>
          <w:lang w:eastAsia="fr-FR"/>
        </w:rPr>
        <w:t xml:space="preserve"> </w:t>
      </w:r>
      <w:r w:rsidRPr="00BC70F5">
        <w:rPr>
          <w:rFonts w:ascii="Verdana" w:eastAsia="Times New Roman" w:hAnsi="Verdana" w:cs="Arial"/>
          <w:sz w:val="20"/>
          <w:szCs w:val="20"/>
          <w:lang w:eastAsia="fr-FR"/>
        </w:rPr>
        <w:t>:</w:t>
      </w:r>
    </w:p>
    <w:p w:rsidR="00BC70F5" w:rsidRPr="00BC70F5" w:rsidRDefault="00BC70F5" w:rsidP="00BC70F5">
      <w:pPr>
        <w:pStyle w:val="Paragraphedeliste"/>
        <w:numPr>
          <w:ilvl w:val="0"/>
          <w:numId w:val="4"/>
        </w:numPr>
        <w:spacing w:before="100" w:beforeAutospacing="1" w:after="100" w:afterAutospacing="1"/>
        <w:jc w:val="both"/>
        <w:rPr>
          <w:rFonts w:ascii="Verdana" w:eastAsia="Times New Roman" w:hAnsi="Verdana" w:cs="Arial"/>
          <w:color w:val="2D3032"/>
          <w:sz w:val="20"/>
          <w:szCs w:val="20"/>
          <w:lang w:eastAsia="fr-FR"/>
        </w:rPr>
      </w:pPr>
      <w:r>
        <w:rPr>
          <w:rFonts w:ascii="Verdana" w:eastAsia="Times New Roman" w:hAnsi="Verdana" w:cs="Arial"/>
          <w:color w:val="2D3032"/>
          <w:sz w:val="20"/>
          <w:szCs w:val="20"/>
          <w:lang w:eastAsia="fr-FR"/>
        </w:rPr>
        <w:t>V</w:t>
      </w:r>
      <w:r w:rsidRPr="00BC70F5">
        <w:rPr>
          <w:rFonts w:ascii="Verdana" w:eastAsia="Times New Roman" w:hAnsi="Verdana" w:cs="Arial"/>
          <w:color w:val="2D3032"/>
          <w:sz w:val="20"/>
          <w:szCs w:val="20"/>
          <w:lang w:eastAsia="fr-FR"/>
        </w:rPr>
        <w:t>alidation de services, régularisation et transfert des droits au Régime Général et à l'IRCANTEC (sur support papier)</w:t>
      </w:r>
    </w:p>
    <w:p w:rsidR="00BC70F5" w:rsidRDefault="00BC70F5" w:rsidP="00BC70F5">
      <w:pPr>
        <w:pStyle w:val="Paragraphedeliste"/>
        <w:numPr>
          <w:ilvl w:val="0"/>
          <w:numId w:val="4"/>
        </w:numPr>
        <w:spacing w:before="100" w:beforeAutospacing="1" w:after="100" w:afterAutospacing="1"/>
        <w:jc w:val="both"/>
        <w:rPr>
          <w:rFonts w:ascii="Verdana" w:eastAsia="Times New Roman" w:hAnsi="Verdana" w:cs="Arial"/>
          <w:color w:val="2D3032"/>
          <w:sz w:val="20"/>
          <w:szCs w:val="20"/>
          <w:lang w:eastAsia="fr-FR"/>
        </w:rPr>
      </w:pPr>
      <w:r>
        <w:rPr>
          <w:rFonts w:ascii="Verdana" w:eastAsia="Times New Roman" w:hAnsi="Verdana" w:cs="Arial"/>
          <w:color w:val="2D3032"/>
          <w:sz w:val="20"/>
          <w:szCs w:val="20"/>
          <w:lang w:eastAsia="fr-FR"/>
        </w:rPr>
        <w:t>D</w:t>
      </w:r>
      <w:r w:rsidRPr="00BC70F5">
        <w:rPr>
          <w:rFonts w:ascii="Verdana" w:eastAsia="Times New Roman" w:hAnsi="Verdana" w:cs="Arial"/>
          <w:color w:val="2D3032"/>
          <w:sz w:val="20"/>
          <w:szCs w:val="20"/>
          <w:lang w:eastAsia="fr-FR"/>
        </w:rPr>
        <w:t xml:space="preserve">emande d'avis préalable </w:t>
      </w:r>
    </w:p>
    <w:p w:rsidR="00BC70F5" w:rsidRDefault="00BC70F5" w:rsidP="00BC70F5">
      <w:pPr>
        <w:pStyle w:val="Paragraphedeliste"/>
        <w:numPr>
          <w:ilvl w:val="0"/>
          <w:numId w:val="4"/>
        </w:numPr>
        <w:spacing w:before="100" w:beforeAutospacing="1" w:after="100" w:afterAutospacing="1"/>
        <w:jc w:val="both"/>
        <w:rPr>
          <w:rFonts w:ascii="Verdana" w:eastAsia="Times New Roman" w:hAnsi="Verdana" w:cs="Arial"/>
          <w:color w:val="2D3032"/>
          <w:sz w:val="20"/>
          <w:szCs w:val="20"/>
          <w:lang w:eastAsia="fr-FR"/>
        </w:rPr>
      </w:pPr>
      <w:r>
        <w:rPr>
          <w:rFonts w:ascii="Verdana" w:eastAsia="Times New Roman" w:hAnsi="Verdana" w:cs="Arial"/>
          <w:color w:val="2D3032"/>
          <w:sz w:val="20"/>
          <w:szCs w:val="20"/>
          <w:lang w:eastAsia="fr-FR"/>
        </w:rPr>
        <w:t>L</w:t>
      </w:r>
      <w:r w:rsidRPr="00BC70F5">
        <w:rPr>
          <w:rFonts w:ascii="Verdana" w:eastAsia="Times New Roman" w:hAnsi="Verdana" w:cs="Arial"/>
          <w:color w:val="2D3032"/>
          <w:sz w:val="20"/>
          <w:szCs w:val="20"/>
          <w:lang w:eastAsia="fr-FR"/>
        </w:rPr>
        <w:t>iquidation des droits à pension normale, d'invalidité et de réversion,</w:t>
      </w:r>
      <w:r>
        <w:rPr>
          <w:rFonts w:ascii="Verdana" w:eastAsia="Times New Roman" w:hAnsi="Verdana" w:cs="Arial"/>
          <w:color w:val="2D3032"/>
          <w:sz w:val="20"/>
          <w:szCs w:val="20"/>
          <w:lang w:eastAsia="fr-FR"/>
        </w:rPr>
        <w:t xml:space="preserve"> autres…</w:t>
      </w:r>
    </w:p>
    <w:p w:rsidR="00BC70F5" w:rsidRDefault="00BC70F5" w:rsidP="00BC70F5">
      <w:pPr>
        <w:pStyle w:val="Paragraphedeliste"/>
        <w:numPr>
          <w:ilvl w:val="0"/>
          <w:numId w:val="4"/>
        </w:numPr>
        <w:spacing w:before="100" w:beforeAutospacing="1" w:after="100" w:afterAutospacing="1"/>
        <w:jc w:val="both"/>
        <w:rPr>
          <w:rFonts w:ascii="Verdana" w:eastAsia="Times New Roman" w:hAnsi="Verdana" w:cs="Arial"/>
          <w:color w:val="2D3032"/>
          <w:sz w:val="20"/>
          <w:szCs w:val="20"/>
          <w:lang w:eastAsia="fr-FR"/>
        </w:rPr>
      </w:pPr>
      <w:r>
        <w:rPr>
          <w:rFonts w:ascii="Verdana" w:eastAsia="Times New Roman" w:hAnsi="Verdana" w:cs="Arial"/>
          <w:color w:val="2D3032"/>
          <w:sz w:val="20"/>
          <w:szCs w:val="20"/>
          <w:lang w:eastAsia="fr-FR"/>
        </w:rPr>
        <w:t>Simulation de calcul de pension</w:t>
      </w:r>
    </w:p>
    <w:p w:rsidR="00BC70F5" w:rsidRPr="00BC70F5" w:rsidRDefault="00BC70F5" w:rsidP="00BC70F5">
      <w:pPr>
        <w:pStyle w:val="Paragraphedeliste"/>
        <w:numPr>
          <w:ilvl w:val="0"/>
          <w:numId w:val="4"/>
        </w:numPr>
        <w:spacing w:before="100" w:beforeAutospacing="1" w:after="100" w:afterAutospacing="1"/>
        <w:jc w:val="both"/>
        <w:rPr>
          <w:rFonts w:ascii="Verdana" w:eastAsia="Times New Roman" w:hAnsi="Verdana" w:cs="Arial"/>
          <w:color w:val="2D3032"/>
          <w:sz w:val="20"/>
          <w:szCs w:val="20"/>
          <w:lang w:eastAsia="fr-FR"/>
        </w:rPr>
      </w:pPr>
      <w:r>
        <w:rPr>
          <w:rFonts w:ascii="Verdana" w:eastAsia="Times New Roman" w:hAnsi="Verdana" w:cs="Arial"/>
          <w:color w:val="2D3032"/>
          <w:sz w:val="20"/>
          <w:szCs w:val="20"/>
          <w:lang w:eastAsia="fr-FR"/>
        </w:rPr>
        <w:t>C</w:t>
      </w:r>
      <w:r w:rsidRPr="00BC70F5">
        <w:rPr>
          <w:rFonts w:ascii="Verdana" w:eastAsia="Times New Roman" w:hAnsi="Verdana" w:cs="Arial"/>
          <w:color w:val="2D3032"/>
          <w:sz w:val="20"/>
          <w:szCs w:val="20"/>
          <w:lang w:eastAsia="fr-FR"/>
        </w:rPr>
        <w:t>ompte individuel retraite (CIR</w:t>
      </w:r>
      <w:r>
        <w:rPr>
          <w:rFonts w:ascii="Verdana" w:eastAsia="Times New Roman" w:hAnsi="Verdana" w:cs="Arial"/>
          <w:color w:val="2D3032"/>
          <w:sz w:val="20"/>
          <w:szCs w:val="20"/>
          <w:lang w:eastAsia="fr-FR"/>
        </w:rPr>
        <w:t xml:space="preserve"> et QCIR</w:t>
      </w:r>
      <w:r w:rsidRPr="00BC70F5">
        <w:rPr>
          <w:rFonts w:ascii="Verdana" w:eastAsia="Times New Roman" w:hAnsi="Verdana" w:cs="Arial"/>
          <w:color w:val="2D3032"/>
          <w:sz w:val="20"/>
          <w:szCs w:val="20"/>
          <w:lang w:eastAsia="fr-FR"/>
        </w:rPr>
        <w:t>)</w:t>
      </w:r>
    </w:p>
    <w:p w:rsidR="00BC70F5" w:rsidRDefault="00BC70F5" w:rsidP="00BC70F5">
      <w:pPr>
        <w:spacing w:after="120"/>
        <w:ind w:left="0" w:firstLine="0"/>
        <w:rPr>
          <w:rFonts w:ascii="Verdana" w:hAnsi="Verdana" w:cs="Times New Roman"/>
          <w:sz w:val="20"/>
          <w:szCs w:val="20"/>
        </w:rPr>
      </w:pPr>
      <w:r w:rsidRPr="00BC70F5">
        <w:rPr>
          <w:rFonts w:ascii="Verdana" w:hAnsi="Verdana" w:cs="Times New Roman"/>
          <w:sz w:val="20"/>
          <w:szCs w:val="20"/>
        </w:rPr>
        <w:t>Les collectivités sont invitées à contacter en premier ressort le Centre de Gestion, à charge pour lui ensuite de contacter la C.N.R.A.C.L. afin d’évoquer le point soulevé.</w:t>
      </w:r>
    </w:p>
    <w:p w:rsidR="00743933" w:rsidRDefault="00743933" w:rsidP="00BC70F5">
      <w:pPr>
        <w:ind w:left="0" w:firstLine="0"/>
        <w:rPr>
          <w:rFonts w:ascii="Verdana" w:hAnsi="Verdana" w:cs="Times New Roman"/>
          <w:sz w:val="20"/>
          <w:szCs w:val="20"/>
        </w:rPr>
      </w:pPr>
    </w:p>
    <w:p w:rsidR="00F46941" w:rsidRPr="00F46941" w:rsidRDefault="00F46941" w:rsidP="00B86BE6">
      <w:pPr>
        <w:autoSpaceDE w:val="0"/>
        <w:autoSpaceDN w:val="0"/>
        <w:adjustRightInd w:val="0"/>
        <w:spacing w:before="0"/>
        <w:ind w:left="0" w:firstLine="0"/>
        <w:rPr>
          <w:rFonts w:ascii="Verdana" w:eastAsia="Times New Roman" w:hAnsi="Verdana" w:cs="Arial"/>
          <w:sz w:val="20"/>
          <w:szCs w:val="20"/>
          <w:lang w:val="en-US" w:eastAsia="fr-FR"/>
        </w:rPr>
      </w:pPr>
      <w:r w:rsidRPr="00F46941">
        <w:rPr>
          <w:rFonts w:ascii="Verdana" w:eastAsia="Times New Roman" w:hAnsi="Verdana" w:cs="Arial"/>
          <w:sz w:val="20"/>
          <w:szCs w:val="20"/>
          <w:lang w:eastAsia="fr-FR"/>
        </w:rPr>
        <w:t>Pour toute demande de renseignement complémen</w:t>
      </w:r>
      <w:r>
        <w:rPr>
          <w:rFonts w:ascii="Verdana" w:eastAsia="Times New Roman" w:hAnsi="Verdana" w:cs="Arial"/>
          <w:sz w:val="20"/>
          <w:szCs w:val="20"/>
          <w:lang w:eastAsia="fr-FR"/>
        </w:rPr>
        <w:t xml:space="preserve">taire, vous pouvez contacter </w:t>
      </w:r>
      <w:proofErr w:type="spellStart"/>
      <w:r>
        <w:rPr>
          <w:rFonts w:ascii="Verdana" w:eastAsia="Times New Roman" w:hAnsi="Verdana" w:cs="Arial"/>
          <w:sz w:val="20"/>
          <w:szCs w:val="20"/>
          <w:lang w:eastAsia="fr-FR"/>
        </w:rPr>
        <w:t>M.</w:t>
      </w:r>
      <w:r w:rsidRPr="00F46941">
        <w:rPr>
          <w:rFonts w:ascii="Verdana" w:eastAsia="Times New Roman" w:hAnsi="Verdana" w:cs="Arial"/>
          <w:sz w:val="20"/>
          <w:szCs w:val="20"/>
          <w:lang w:eastAsia="fr-FR"/>
        </w:rPr>
        <w:t>Cyril</w:t>
      </w:r>
      <w:proofErr w:type="spellEnd"/>
      <w:r w:rsidRPr="00F46941">
        <w:rPr>
          <w:rFonts w:ascii="Verdana" w:eastAsia="Times New Roman" w:hAnsi="Verdana" w:cs="Arial"/>
          <w:sz w:val="20"/>
          <w:szCs w:val="20"/>
          <w:lang w:eastAsia="fr-FR"/>
        </w:rPr>
        <w:t xml:space="preserve"> </w:t>
      </w:r>
      <w:proofErr w:type="spellStart"/>
      <w:r w:rsidRPr="00F46941">
        <w:rPr>
          <w:rFonts w:ascii="Verdana" w:eastAsia="Times New Roman" w:hAnsi="Verdana" w:cs="Arial"/>
          <w:sz w:val="20"/>
          <w:szCs w:val="20"/>
          <w:lang w:eastAsia="fr-FR"/>
        </w:rPr>
        <w:t>Buart</w:t>
      </w:r>
      <w:proofErr w:type="spellEnd"/>
      <w:r w:rsidR="006D0E93">
        <w:rPr>
          <w:rFonts w:ascii="Verdana" w:eastAsia="Times New Roman" w:hAnsi="Verdana" w:cs="Arial"/>
          <w:sz w:val="20"/>
          <w:szCs w:val="20"/>
          <w:lang w:eastAsia="fr-FR"/>
        </w:rPr>
        <w:t xml:space="preserve"> et Mme DESSAIN-BOURRET</w:t>
      </w:r>
      <w:r w:rsidRPr="00F46941">
        <w:rPr>
          <w:rFonts w:ascii="Verdana" w:eastAsia="Times New Roman" w:hAnsi="Verdana" w:cs="Arial"/>
          <w:sz w:val="20"/>
          <w:szCs w:val="20"/>
          <w:lang w:eastAsia="fr-FR"/>
        </w:rPr>
        <w:t>, correspondant</w:t>
      </w:r>
      <w:r w:rsidR="006D0E93">
        <w:rPr>
          <w:rFonts w:ascii="Verdana" w:eastAsia="Times New Roman" w:hAnsi="Verdana" w:cs="Arial"/>
          <w:sz w:val="20"/>
          <w:szCs w:val="20"/>
          <w:lang w:eastAsia="fr-FR"/>
        </w:rPr>
        <w:t>s</w:t>
      </w:r>
      <w:r w:rsidRPr="00F46941">
        <w:rPr>
          <w:rFonts w:ascii="Verdana" w:eastAsia="Times New Roman" w:hAnsi="Verdana" w:cs="Arial"/>
          <w:sz w:val="20"/>
          <w:szCs w:val="20"/>
          <w:lang w:eastAsia="fr-FR"/>
        </w:rPr>
        <w:t xml:space="preserve"> de la mission « </w:t>
      </w:r>
      <w:r>
        <w:rPr>
          <w:rFonts w:ascii="Verdana" w:eastAsia="Times New Roman" w:hAnsi="Verdana" w:cs="Arial"/>
          <w:sz w:val="20"/>
          <w:szCs w:val="20"/>
          <w:lang w:eastAsia="fr-FR"/>
        </w:rPr>
        <w:t>CNRACL</w:t>
      </w:r>
      <w:r w:rsidRPr="00F46941">
        <w:rPr>
          <w:rFonts w:ascii="Verdana" w:eastAsia="Times New Roman" w:hAnsi="Verdana" w:cs="Arial"/>
          <w:sz w:val="20"/>
          <w:szCs w:val="20"/>
          <w:lang w:eastAsia="fr-FR"/>
        </w:rPr>
        <w:t> » au Centre de Gestion de la Fonction P</w:t>
      </w:r>
      <w:r>
        <w:rPr>
          <w:rFonts w:ascii="Verdana" w:eastAsia="Times New Roman" w:hAnsi="Verdana" w:cs="Arial"/>
          <w:sz w:val="20"/>
          <w:szCs w:val="20"/>
          <w:lang w:eastAsia="fr-FR"/>
        </w:rPr>
        <w:t xml:space="preserve">ublique Territoriale de l’Aisne </w:t>
      </w:r>
      <w:r w:rsidR="006D0E93">
        <w:rPr>
          <w:rFonts w:ascii="Verdana" w:eastAsia="Times New Roman" w:hAnsi="Verdana" w:cs="Arial"/>
          <w:sz w:val="20"/>
          <w:szCs w:val="20"/>
          <w:lang w:eastAsia="fr-FR"/>
        </w:rPr>
        <w:t xml:space="preserve">respectivement via </w:t>
      </w:r>
      <w:hyperlink r:id="rId8" w:history="1">
        <w:r w:rsidR="00B17288" w:rsidRPr="004F1C89">
          <w:rPr>
            <w:rStyle w:val="Lienhypertexte"/>
            <w:rFonts w:ascii="Verdana" w:eastAsia="Times New Roman" w:hAnsi="Verdana" w:cs="Arial"/>
            <w:sz w:val="20"/>
            <w:szCs w:val="20"/>
            <w:lang w:val="en-US" w:eastAsia="fr-FR"/>
          </w:rPr>
          <w:t>directionemploiconcours@cdg02.fr</w:t>
        </w:r>
      </w:hyperlink>
      <w:r w:rsidRPr="006D0E93">
        <w:rPr>
          <w:rFonts w:ascii="Verdana" w:eastAsia="Times New Roman" w:hAnsi="Verdana" w:cs="Arial"/>
          <w:sz w:val="20"/>
          <w:szCs w:val="20"/>
          <w:lang w:val="en-US" w:eastAsia="fr-FR"/>
        </w:rPr>
        <w:t xml:space="preserve"> </w:t>
      </w:r>
      <w:r>
        <w:rPr>
          <w:rFonts w:ascii="Verdana" w:eastAsia="Times New Roman" w:hAnsi="Verdana" w:cs="Arial"/>
          <w:sz w:val="20"/>
          <w:szCs w:val="20"/>
          <w:lang w:val="en-US" w:eastAsia="fr-FR"/>
        </w:rPr>
        <w:t>et</w:t>
      </w:r>
      <w:r w:rsidR="006D0E93">
        <w:rPr>
          <w:rFonts w:ascii="Verdana" w:eastAsia="Times New Roman" w:hAnsi="Verdana" w:cs="Arial"/>
          <w:sz w:val="20"/>
          <w:szCs w:val="20"/>
          <w:lang w:val="en-US" w:eastAsia="fr-FR"/>
        </w:rPr>
        <w:t xml:space="preserve"> via </w:t>
      </w:r>
      <w:r w:rsidR="00B17288">
        <w:rPr>
          <w:rFonts w:ascii="Verdana" w:eastAsia="Times New Roman" w:hAnsi="Verdana" w:cs="Arial"/>
          <w:sz w:val="20"/>
          <w:szCs w:val="20"/>
          <w:lang w:val="en-US" w:eastAsia="fr-FR"/>
        </w:rPr>
        <w:t>conseilstatutaire1</w:t>
      </w:r>
      <w:bookmarkStart w:id="0" w:name="_GoBack"/>
      <w:bookmarkEnd w:id="0"/>
      <w:r w:rsidR="006D0E93" w:rsidRPr="006D0E93">
        <w:rPr>
          <w:rFonts w:ascii="Verdana" w:eastAsia="Times New Roman" w:hAnsi="Verdana" w:cs="Arial"/>
          <w:sz w:val="20"/>
          <w:szCs w:val="20"/>
          <w:lang w:val="en-US" w:eastAsia="fr-FR"/>
        </w:rPr>
        <w:t xml:space="preserve">@cdg02.fr </w:t>
      </w:r>
      <w:r>
        <w:rPr>
          <w:rFonts w:ascii="Verdana" w:eastAsia="Times New Roman" w:hAnsi="Verdana" w:cs="Arial"/>
          <w:sz w:val="20"/>
          <w:szCs w:val="20"/>
          <w:lang w:val="en-US" w:eastAsia="fr-FR"/>
        </w:rPr>
        <w:t xml:space="preserve">  </w:t>
      </w:r>
    </w:p>
    <w:sectPr w:rsidR="00F46941" w:rsidRPr="00F46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8D4"/>
    <w:multiLevelType w:val="multilevel"/>
    <w:tmpl w:val="6198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06C5B"/>
    <w:multiLevelType w:val="multilevel"/>
    <w:tmpl w:val="605C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A4EF4"/>
    <w:multiLevelType w:val="hybridMultilevel"/>
    <w:tmpl w:val="06D8EB48"/>
    <w:lvl w:ilvl="0" w:tplc="7806013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D37714"/>
    <w:multiLevelType w:val="hybridMultilevel"/>
    <w:tmpl w:val="AD762D18"/>
    <w:lvl w:ilvl="0" w:tplc="A482AA7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82"/>
    <w:rsid w:val="0021494F"/>
    <w:rsid w:val="006D0E93"/>
    <w:rsid w:val="00743933"/>
    <w:rsid w:val="00B17288"/>
    <w:rsid w:val="00B86BE6"/>
    <w:rsid w:val="00BC70F5"/>
    <w:rsid w:val="00EE6082"/>
    <w:rsid w:val="00F469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4E2C"/>
  <w15:chartTrackingRefBased/>
  <w15:docId w15:val="{5177376F-8D51-498A-82D1-48B59EE3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0F5"/>
    <w:pPr>
      <w:spacing w:before="120" w:after="0" w:line="240" w:lineRule="auto"/>
      <w:ind w:left="714" w:hanging="35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0F5"/>
    <w:pPr>
      <w:spacing w:before="0" w:after="200" w:line="276" w:lineRule="auto"/>
      <w:ind w:left="720" w:firstLine="0"/>
      <w:contextualSpacing/>
      <w:jc w:val="left"/>
    </w:pPr>
  </w:style>
  <w:style w:type="character" w:styleId="Lienhypertexte">
    <w:name w:val="Hyperlink"/>
    <w:basedOn w:val="Policepardfaut"/>
    <w:uiPriority w:val="99"/>
    <w:unhideWhenUsed/>
    <w:rsid w:val="00F46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4027">
      <w:bodyDiv w:val="1"/>
      <w:marLeft w:val="0"/>
      <w:marRight w:val="0"/>
      <w:marTop w:val="0"/>
      <w:marBottom w:val="0"/>
      <w:divBdr>
        <w:top w:val="none" w:sz="0" w:space="0" w:color="auto"/>
        <w:left w:val="none" w:sz="0" w:space="0" w:color="auto"/>
        <w:bottom w:val="none" w:sz="0" w:space="0" w:color="auto"/>
        <w:right w:val="none" w:sz="0" w:space="0" w:color="auto"/>
      </w:divBdr>
      <w:divsChild>
        <w:div w:id="1343045476">
          <w:marLeft w:val="0"/>
          <w:marRight w:val="0"/>
          <w:marTop w:val="0"/>
          <w:marBottom w:val="0"/>
          <w:divBdr>
            <w:top w:val="none" w:sz="0" w:space="0" w:color="auto"/>
            <w:left w:val="none" w:sz="0" w:space="0" w:color="auto"/>
            <w:bottom w:val="none" w:sz="0" w:space="0" w:color="auto"/>
            <w:right w:val="none" w:sz="0" w:space="0" w:color="auto"/>
          </w:divBdr>
        </w:div>
        <w:div w:id="176653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emploiconcours@cdg02.fr" TargetMode="External"/><Relationship Id="rId3" Type="http://schemas.openxmlformats.org/officeDocument/2006/relationships/settings" Target="settings.xml"/><Relationship Id="rId7" Type="http://schemas.openxmlformats.org/officeDocument/2006/relationships/hyperlink" Target="https://www.cdc.retraites.fr/portail/spip.php?page=rubrique&amp;id_rubrique=121&amp;cible=_employe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341</Words>
  <Characters>1878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BUART-DUTON</dc:creator>
  <cp:keywords/>
  <dc:description/>
  <cp:lastModifiedBy>Cyrille BUART-DUTON</cp:lastModifiedBy>
  <cp:revision>5</cp:revision>
  <dcterms:created xsi:type="dcterms:W3CDTF">2021-11-05T13:31:00Z</dcterms:created>
  <dcterms:modified xsi:type="dcterms:W3CDTF">2021-11-25T14:57:00Z</dcterms:modified>
</cp:coreProperties>
</file>